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AEF7" w14:textId="11CA58BE" w:rsidR="00DD59E6" w:rsidRDefault="007F1850" w:rsidP="00847B15">
      <w:pPr>
        <w:pStyle w:val="NoSpacing"/>
      </w:pPr>
      <w:r>
        <w:t xml:space="preserve">                                                                  </w:t>
      </w:r>
      <w:r w:rsidRPr="007F1850">
        <w:rPr>
          <w:noProof/>
        </w:rPr>
        <w:drawing>
          <wp:inline distT="0" distB="0" distL="0" distR="0" wp14:anchorId="18F622FD" wp14:editId="68EE1C8E">
            <wp:extent cx="28765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A98FD" w14:textId="77777777" w:rsidR="008A2CE2" w:rsidRDefault="008A2CE2" w:rsidP="00847B15">
      <w:pPr>
        <w:pStyle w:val="NoSpacing"/>
      </w:pPr>
    </w:p>
    <w:p w14:paraId="745DAD97" w14:textId="77777777" w:rsidR="008A2CE2" w:rsidRPr="00A368DE" w:rsidRDefault="008A2CE2" w:rsidP="00847B15">
      <w:pPr>
        <w:pStyle w:val="NoSpacing"/>
        <w:rPr>
          <w:sz w:val="36"/>
          <w:szCs w:val="36"/>
        </w:rPr>
      </w:pPr>
    </w:p>
    <w:p w14:paraId="56834D5B" w14:textId="77777777" w:rsidR="008A2CE2" w:rsidRPr="00A368DE" w:rsidRDefault="008A2CE2" w:rsidP="00847B15">
      <w:pPr>
        <w:pStyle w:val="NoSpacing"/>
        <w:rPr>
          <w:sz w:val="36"/>
          <w:szCs w:val="36"/>
        </w:rPr>
      </w:pPr>
    </w:p>
    <w:p w14:paraId="333D9DAF" w14:textId="4A4A23F6" w:rsidR="008A2CE2" w:rsidRDefault="008A2CE2" w:rsidP="00A97C50">
      <w:pPr>
        <w:pStyle w:val="NoSpacing"/>
        <w:jc w:val="center"/>
        <w:rPr>
          <w:b/>
          <w:bCs/>
          <w:color w:val="0070C0"/>
          <w:sz w:val="36"/>
          <w:szCs w:val="36"/>
        </w:rPr>
      </w:pPr>
      <w:r w:rsidRPr="00A368DE">
        <w:rPr>
          <w:b/>
          <w:bCs/>
          <w:color w:val="0070C0"/>
          <w:sz w:val="36"/>
          <w:szCs w:val="36"/>
        </w:rPr>
        <w:t xml:space="preserve">Response to Healthwatch Report: </w:t>
      </w:r>
      <w:r w:rsidR="00610C33">
        <w:rPr>
          <w:b/>
          <w:bCs/>
          <w:color w:val="0070C0"/>
          <w:sz w:val="36"/>
          <w:szCs w:val="36"/>
        </w:rPr>
        <w:t>Feb 2025</w:t>
      </w:r>
    </w:p>
    <w:p w14:paraId="0A415E45" w14:textId="77777777" w:rsidR="00610C33" w:rsidRPr="00A368DE" w:rsidRDefault="00610C33" w:rsidP="00A97C50">
      <w:pPr>
        <w:pStyle w:val="NoSpacing"/>
        <w:jc w:val="center"/>
        <w:rPr>
          <w:b/>
          <w:bCs/>
          <w:color w:val="0070C0"/>
          <w:sz w:val="36"/>
          <w:szCs w:val="36"/>
        </w:rPr>
      </w:pPr>
    </w:p>
    <w:p w14:paraId="5302FAF4" w14:textId="2CB7CF7D" w:rsidR="008A2CE2" w:rsidRPr="00610C33" w:rsidRDefault="008A2CE2" w:rsidP="00A97C50">
      <w:pPr>
        <w:pStyle w:val="NoSpacing"/>
        <w:jc w:val="center"/>
        <w:rPr>
          <w:sz w:val="36"/>
          <w:szCs w:val="36"/>
        </w:rPr>
      </w:pPr>
      <w:r w:rsidRPr="00610C33">
        <w:rPr>
          <w:b/>
          <w:bCs/>
          <w:sz w:val="36"/>
          <w:szCs w:val="36"/>
        </w:rPr>
        <w:t>Rethinking Mental Health Services for Black African &amp; Caribbean communities:</w:t>
      </w:r>
    </w:p>
    <w:p w14:paraId="63E0F2CE" w14:textId="77777777" w:rsidR="008A2CE2" w:rsidRDefault="008A2CE2" w:rsidP="00847B15">
      <w:pPr>
        <w:pStyle w:val="NoSpacing"/>
      </w:pPr>
    </w:p>
    <w:p w14:paraId="6EDDF0A0" w14:textId="77777777" w:rsidR="00591BDE" w:rsidRPr="00591BDE" w:rsidRDefault="00591BDE" w:rsidP="00847B15">
      <w:pPr>
        <w:pStyle w:val="NoSpacing"/>
        <w:rPr>
          <w:b/>
          <w:bCs/>
          <w:sz w:val="32"/>
          <w:szCs w:val="32"/>
        </w:rPr>
      </w:pPr>
    </w:p>
    <w:p w14:paraId="6B4F27AC" w14:textId="2E0BF675" w:rsidR="00591BDE" w:rsidRPr="00591BDE" w:rsidRDefault="00591BDE" w:rsidP="00847B15">
      <w:pPr>
        <w:pStyle w:val="NoSpacing"/>
        <w:rPr>
          <w:b/>
          <w:bCs/>
          <w:sz w:val="40"/>
          <w:szCs w:val="40"/>
        </w:rPr>
      </w:pPr>
      <w:r w:rsidRPr="00591BDE">
        <w:rPr>
          <w:b/>
          <w:bCs/>
          <w:sz w:val="40"/>
          <w:szCs w:val="40"/>
        </w:rPr>
        <w:t xml:space="preserve">Introduction: </w:t>
      </w:r>
    </w:p>
    <w:p w14:paraId="0EDAE794" w14:textId="04A338D4" w:rsidR="007A32A7" w:rsidRDefault="00A368DE" w:rsidP="00847B15">
      <w:pPr>
        <w:pStyle w:val="NoSpacing"/>
      </w:pPr>
      <w:r>
        <w:t>We would like to</w:t>
      </w:r>
      <w:r w:rsidR="008A2CE2">
        <w:t xml:space="preserve"> thank Healthwatch Southwark for the report and the insights that it includes.  Whilst the recommendations </w:t>
      </w:r>
      <w:r w:rsidR="00090331">
        <w:t>mainly</w:t>
      </w:r>
      <w:r w:rsidR="008A2CE2">
        <w:t xml:space="preserve"> relate to the local system rather than specific offer from our Trust, we would lik</w:t>
      </w:r>
      <w:r w:rsidR="007A32A7">
        <w:t>e to confirm our committment to:</w:t>
      </w:r>
    </w:p>
    <w:p w14:paraId="73AD8CCB" w14:textId="769F1544" w:rsidR="007A32A7" w:rsidRDefault="008A2CE2" w:rsidP="007A32A7">
      <w:pPr>
        <w:pStyle w:val="NoSpacing"/>
        <w:numPr>
          <w:ilvl w:val="0"/>
          <w:numId w:val="11"/>
        </w:numPr>
      </w:pPr>
      <w:r>
        <w:t xml:space="preserve">continuous work to improve access, experience &amp; outcomes for our black communities </w:t>
      </w:r>
      <w:hyperlink r:id="rId6" w:history="1">
        <w:r w:rsidR="00591BDE">
          <w:rPr>
            <w:rStyle w:val="Hyperlink"/>
          </w:rPr>
          <w:t>Patient and Carer Race Equality Framework (PCREF) at South London and Maudsley</w:t>
        </w:r>
      </w:hyperlink>
    </w:p>
    <w:p w14:paraId="39019CD2" w14:textId="1540A64C" w:rsidR="007A32A7" w:rsidRDefault="002C6912" w:rsidP="007A32A7">
      <w:pPr>
        <w:pStyle w:val="NoSpacing"/>
        <w:numPr>
          <w:ilvl w:val="0"/>
          <w:numId w:val="11"/>
        </w:numPr>
      </w:pPr>
      <w:r>
        <w:t xml:space="preserve">ongoing </w:t>
      </w:r>
      <w:r w:rsidR="008A2CE2">
        <w:t xml:space="preserve">work towards becoming an anti-racist provider. </w:t>
      </w:r>
      <w:hyperlink r:id="rId7" w:history="1">
        <w:r w:rsidR="00591BDE">
          <w:rPr>
            <w:rStyle w:val="Hyperlink"/>
          </w:rPr>
          <w:t>Anti-Racism Action Plan - South London and Maudsley</w:t>
        </w:r>
      </w:hyperlink>
    </w:p>
    <w:p w14:paraId="1BB5253D" w14:textId="77777777" w:rsidR="008C59F8" w:rsidRDefault="008C59F8" w:rsidP="007A32A7">
      <w:pPr>
        <w:pStyle w:val="NoSpacing"/>
      </w:pPr>
    </w:p>
    <w:p w14:paraId="4BFBDF2F" w14:textId="1B817AFB" w:rsidR="008C59F8" w:rsidRDefault="008C59F8" w:rsidP="007A32A7">
      <w:pPr>
        <w:pStyle w:val="NoSpacing"/>
      </w:pPr>
      <w:r>
        <w:t xml:space="preserve">The Trust has is working to an organisational strategy </w:t>
      </w:r>
      <w:hyperlink r:id="rId8" w:history="1">
        <w:r>
          <w:rPr>
            <w:rStyle w:val="Hyperlink"/>
          </w:rPr>
          <w:t>Our strategy. South London and Maudsley NHS Foundation Trust's operational strategy.</w:t>
        </w:r>
      </w:hyperlink>
      <w:r>
        <w:t xml:space="preserve"> which includes the following 5 priorities:</w:t>
      </w:r>
    </w:p>
    <w:p w14:paraId="73D35A72" w14:textId="77777777" w:rsidR="008C59F8" w:rsidRPr="008C59F8" w:rsidRDefault="008C59F8" w:rsidP="008C59F8">
      <w:pPr>
        <w:numPr>
          <w:ilvl w:val="0"/>
          <w:numId w:val="14"/>
        </w:numPr>
        <w:spacing w:before="48" w:after="48" w:line="240" w:lineRule="auto"/>
        <w:rPr>
          <w:rFonts w:ascii="Helvetica Neue" w:eastAsia="Times New Roman" w:hAnsi="Helvetica Neue"/>
          <w:color w:val="000000"/>
          <w:lang w:eastAsia="en-GB"/>
        </w:rPr>
      </w:pPr>
      <w:r w:rsidRPr="008C59F8">
        <w:rPr>
          <w:rFonts w:ascii="Helvetica Neue" w:eastAsia="Times New Roman" w:hAnsi="Helvetica Neue"/>
          <w:color w:val="000000"/>
          <w:lang w:eastAsia="en-GB"/>
        </w:rPr>
        <w:t>Deliver outstanding mental health care</w:t>
      </w:r>
    </w:p>
    <w:p w14:paraId="0E41BD21" w14:textId="77777777" w:rsidR="008C59F8" w:rsidRPr="008C59F8" w:rsidRDefault="008C59F8" w:rsidP="008C59F8">
      <w:pPr>
        <w:numPr>
          <w:ilvl w:val="0"/>
          <w:numId w:val="14"/>
        </w:numPr>
        <w:spacing w:before="48" w:after="48" w:line="240" w:lineRule="auto"/>
        <w:rPr>
          <w:rFonts w:ascii="Helvetica Neue" w:eastAsia="Times New Roman" w:hAnsi="Helvetica Neue"/>
          <w:color w:val="000000"/>
          <w:lang w:eastAsia="en-GB"/>
        </w:rPr>
      </w:pPr>
      <w:r w:rsidRPr="008C59F8">
        <w:rPr>
          <w:rFonts w:ascii="Helvetica Neue" w:eastAsia="Times New Roman" w:hAnsi="Helvetica Neue"/>
          <w:color w:val="000000"/>
          <w:lang w:eastAsia="en-GB"/>
        </w:rPr>
        <w:t>Be a partner in prevention</w:t>
      </w:r>
    </w:p>
    <w:p w14:paraId="0B015C41" w14:textId="77777777" w:rsidR="008C59F8" w:rsidRPr="008C59F8" w:rsidRDefault="008C59F8" w:rsidP="008C59F8">
      <w:pPr>
        <w:numPr>
          <w:ilvl w:val="0"/>
          <w:numId w:val="14"/>
        </w:numPr>
        <w:spacing w:before="48" w:after="48" w:line="240" w:lineRule="auto"/>
        <w:rPr>
          <w:rFonts w:ascii="Helvetica Neue" w:eastAsia="Times New Roman" w:hAnsi="Helvetica Neue"/>
          <w:color w:val="000000"/>
          <w:lang w:eastAsia="en-GB"/>
        </w:rPr>
      </w:pPr>
      <w:r w:rsidRPr="008C59F8">
        <w:rPr>
          <w:rFonts w:ascii="Helvetica Neue" w:eastAsia="Times New Roman" w:hAnsi="Helvetica Neue"/>
          <w:color w:val="000000"/>
          <w:lang w:eastAsia="en-GB"/>
        </w:rPr>
        <w:t>Be a catalyst for change </w:t>
      </w:r>
    </w:p>
    <w:p w14:paraId="4E3CE51B" w14:textId="77777777" w:rsidR="008C59F8" w:rsidRPr="008C59F8" w:rsidRDefault="008C59F8" w:rsidP="008C59F8">
      <w:pPr>
        <w:numPr>
          <w:ilvl w:val="0"/>
          <w:numId w:val="14"/>
        </w:numPr>
        <w:spacing w:before="48" w:after="48" w:line="240" w:lineRule="auto"/>
        <w:rPr>
          <w:rFonts w:ascii="Helvetica Neue" w:eastAsia="Times New Roman" w:hAnsi="Helvetica Neue"/>
          <w:color w:val="000000"/>
          <w:lang w:eastAsia="en-GB"/>
        </w:rPr>
      </w:pPr>
      <w:r w:rsidRPr="008C59F8">
        <w:rPr>
          <w:rFonts w:ascii="Helvetica Neue" w:eastAsia="Times New Roman" w:hAnsi="Helvetica Neue"/>
          <w:color w:val="000000"/>
          <w:lang w:eastAsia="en-GB"/>
        </w:rPr>
        <w:t>Build a culture of trust together </w:t>
      </w:r>
    </w:p>
    <w:p w14:paraId="112E1F31" w14:textId="77777777" w:rsidR="008C59F8" w:rsidRPr="008C59F8" w:rsidRDefault="008C59F8" w:rsidP="008C59F8">
      <w:pPr>
        <w:numPr>
          <w:ilvl w:val="0"/>
          <w:numId w:val="14"/>
        </w:numPr>
        <w:spacing w:before="48" w:after="48" w:line="240" w:lineRule="auto"/>
        <w:rPr>
          <w:rFonts w:ascii="Helvetica Neue" w:eastAsia="Times New Roman" w:hAnsi="Helvetica Neue"/>
          <w:color w:val="000000"/>
          <w:lang w:eastAsia="en-GB"/>
        </w:rPr>
      </w:pPr>
      <w:r w:rsidRPr="008C59F8">
        <w:rPr>
          <w:rFonts w:ascii="Helvetica Neue" w:eastAsia="Times New Roman" w:hAnsi="Helvetica Neue"/>
          <w:color w:val="000000"/>
          <w:lang w:eastAsia="en-GB"/>
        </w:rPr>
        <w:t>Become effective and sustainable</w:t>
      </w:r>
    </w:p>
    <w:p w14:paraId="72F1AA4F" w14:textId="0585A1FB" w:rsidR="00591BDE" w:rsidRDefault="00591BDE" w:rsidP="00591BDE">
      <w:pPr>
        <w:pStyle w:val="NoSpacing"/>
      </w:pPr>
      <w:r>
        <w:t>As set out in this strategy, we will continue to work in partnership with local organisations to develop trust and improve our offer</w:t>
      </w:r>
      <w:r w:rsidR="00CD0FC0">
        <w:t xml:space="preserve">.  We </w:t>
      </w:r>
      <w:r>
        <w:t>have specific workstreams to support this aim</w:t>
      </w:r>
      <w:r w:rsidR="00CD0FC0">
        <w:t xml:space="preserve"> some of which are outlined below. </w:t>
      </w:r>
    </w:p>
    <w:p w14:paraId="59A9F3A0" w14:textId="77777777" w:rsidR="008C59F8" w:rsidRDefault="008C59F8" w:rsidP="007A32A7">
      <w:pPr>
        <w:pStyle w:val="NoSpacing"/>
      </w:pPr>
    </w:p>
    <w:p w14:paraId="6BCE92AB" w14:textId="31C4773B" w:rsidR="002C6912" w:rsidRDefault="002C6912" w:rsidP="00847B15">
      <w:pPr>
        <w:pStyle w:val="NoSpacing"/>
      </w:pPr>
      <w:r>
        <w:t>The</w:t>
      </w:r>
      <w:r w:rsidR="00591BDE">
        <w:t xml:space="preserve"> specific</w:t>
      </w:r>
      <w:r>
        <w:t xml:space="preserve"> feedback provided in the </w:t>
      </w:r>
      <w:r w:rsidR="00610C33">
        <w:t xml:space="preserve">Healthwatch </w:t>
      </w:r>
      <w:r>
        <w:t>report that relates to our services will be considered alongside other sources of feedback to</w:t>
      </w:r>
      <w:r w:rsidR="009F3688">
        <w:t xml:space="preserve"> help us improve and develop our services. </w:t>
      </w:r>
      <w:r>
        <w:t xml:space="preserve"> </w:t>
      </w:r>
    </w:p>
    <w:p w14:paraId="5A93D0F2" w14:textId="77777777" w:rsidR="008A2CE2" w:rsidRDefault="008A2CE2" w:rsidP="00847B15">
      <w:pPr>
        <w:pStyle w:val="NoSpacing"/>
      </w:pPr>
    </w:p>
    <w:p w14:paraId="63E90CF0" w14:textId="77777777" w:rsidR="00591BDE" w:rsidRDefault="00591BDE" w:rsidP="00847B15">
      <w:pPr>
        <w:pStyle w:val="NoSpacing"/>
      </w:pPr>
    </w:p>
    <w:p w14:paraId="62047E42" w14:textId="77777777" w:rsidR="007F1850" w:rsidRDefault="007F1850" w:rsidP="00847B15">
      <w:pPr>
        <w:pStyle w:val="NoSpacing"/>
        <w:rPr>
          <w:b/>
          <w:bCs/>
          <w:sz w:val="40"/>
          <w:szCs w:val="40"/>
        </w:rPr>
      </w:pPr>
    </w:p>
    <w:p w14:paraId="322FAE7A" w14:textId="05712E29" w:rsidR="00591BDE" w:rsidRPr="00591BDE" w:rsidRDefault="00591BDE" w:rsidP="00847B15">
      <w:pPr>
        <w:pStyle w:val="NoSpacing"/>
        <w:rPr>
          <w:b/>
          <w:bCs/>
          <w:sz w:val="40"/>
          <w:szCs w:val="40"/>
        </w:rPr>
      </w:pPr>
      <w:r w:rsidRPr="00591BDE">
        <w:rPr>
          <w:b/>
          <w:bCs/>
          <w:sz w:val="40"/>
          <w:szCs w:val="40"/>
        </w:rPr>
        <w:lastRenderedPageBreak/>
        <w:t xml:space="preserve">Response to Recommendations: </w:t>
      </w:r>
    </w:p>
    <w:p w14:paraId="21F60D8D" w14:textId="77777777" w:rsidR="00B43864" w:rsidRDefault="008A2CE2" w:rsidP="002C6912">
      <w:pPr>
        <w:pStyle w:val="NoSpacing"/>
        <w:rPr>
          <w:b/>
          <w:bCs/>
        </w:rPr>
      </w:pPr>
      <w:r w:rsidRPr="00126116">
        <w:rPr>
          <w:b/>
          <w:bCs/>
          <w:color w:val="0070C0"/>
        </w:rPr>
        <w:t>Recommendation 1</w:t>
      </w:r>
      <w:r w:rsidRPr="00B43864">
        <w:rPr>
          <w:b/>
          <w:bCs/>
        </w:rPr>
        <w:t>:</w:t>
      </w:r>
      <w:r w:rsidR="002C6912" w:rsidRPr="00B43864">
        <w:rPr>
          <w:b/>
          <w:bCs/>
        </w:rPr>
        <w:t xml:space="preserve">  </w:t>
      </w:r>
    </w:p>
    <w:p w14:paraId="642D78DF" w14:textId="653AF5D6" w:rsidR="002C6912" w:rsidRPr="00B43864" w:rsidRDefault="002C6912" w:rsidP="002C6912">
      <w:pPr>
        <w:pStyle w:val="NoSpacing"/>
        <w:rPr>
          <w:b/>
          <w:bCs/>
        </w:rPr>
      </w:pPr>
      <w:r w:rsidRPr="00B43864">
        <w:rPr>
          <w:b/>
          <w:bCs/>
        </w:rPr>
        <w:t xml:space="preserve">Establish long-term funding for community-based mental health services. </w:t>
      </w:r>
    </w:p>
    <w:p w14:paraId="0DF17F4D" w14:textId="75401444" w:rsidR="002C6912" w:rsidRDefault="002C6912" w:rsidP="002C6912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The Trust has no power to establish </w:t>
      </w:r>
      <w:r w:rsidR="00591BDE">
        <w:rPr>
          <w:sz w:val="23"/>
          <w:szCs w:val="23"/>
        </w:rPr>
        <w:t xml:space="preserve">long term </w:t>
      </w:r>
      <w:r>
        <w:rPr>
          <w:sz w:val="23"/>
          <w:szCs w:val="23"/>
        </w:rPr>
        <w:t xml:space="preserve">funding streams.  It is a provider of commissioned services to the local community. </w:t>
      </w:r>
    </w:p>
    <w:p w14:paraId="770326CF" w14:textId="77777777" w:rsidR="002C6912" w:rsidRDefault="002C6912" w:rsidP="002C6912">
      <w:pPr>
        <w:pStyle w:val="NoSpacing"/>
        <w:rPr>
          <w:sz w:val="23"/>
          <w:szCs w:val="23"/>
        </w:rPr>
      </w:pPr>
    </w:p>
    <w:p w14:paraId="04C64EC2" w14:textId="77777777" w:rsidR="00B43864" w:rsidRDefault="002C6912" w:rsidP="002C6912">
      <w:pPr>
        <w:pStyle w:val="Default"/>
        <w:rPr>
          <w:rFonts w:ascii="Arial" w:hAnsi="Arial" w:cs="Arial"/>
          <w:b/>
          <w:bCs/>
          <w:color w:val="0070C0"/>
        </w:rPr>
      </w:pPr>
      <w:r w:rsidRPr="00126116">
        <w:rPr>
          <w:rFonts w:ascii="Arial" w:hAnsi="Arial" w:cs="Arial"/>
          <w:b/>
          <w:bCs/>
          <w:color w:val="0070C0"/>
        </w:rPr>
        <w:t xml:space="preserve">Recommendation 2: </w:t>
      </w:r>
    </w:p>
    <w:p w14:paraId="0BAD40C3" w14:textId="7772A8E5" w:rsidR="002C6912" w:rsidRPr="00B43864" w:rsidRDefault="002C6912" w:rsidP="002C6912">
      <w:pPr>
        <w:pStyle w:val="Default"/>
        <w:rPr>
          <w:rFonts w:ascii="Arial" w:hAnsi="Arial" w:cs="Arial"/>
          <w:b/>
          <w:bCs/>
          <w:color w:val="auto"/>
        </w:rPr>
      </w:pPr>
      <w:r w:rsidRPr="00B43864">
        <w:rPr>
          <w:rFonts w:ascii="Arial" w:hAnsi="Arial" w:cs="Arial"/>
          <w:b/>
          <w:bCs/>
          <w:color w:val="auto"/>
        </w:rPr>
        <w:t xml:space="preserve">Utilise the current Creative Health programme hosted by South East London Integrated Care Board to implement targeted projects for Black men. </w:t>
      </w:r>
    </w:p>
    <w:p w14:paraId="7529C3EA" w14:textId="77777777" w:rsidR="00CD0FC0" w:rsidRDefault="009F3688" w:rsidP="00CD0FC0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The Trust has no power to allocate funding outside the services it is directly commissioned to provide.</w:t>
      </w:r>
      <w:r w:rsidR="00CD0FC0">
        <w:rPr>
          <w:sz w:val="23"/>
          <w:szCs w:val="23"/>
        </w:rPr>
        <w:t xml:space="preserve"> </w:t>
      </w:r>
    </w:p>
    <w:p w14:paraId="6B682D17" w14:textId="77777777" w:rsidR="00CD0FC0" w:rsidRDefault="00CD0FC0" w:rsidP="00CD0FC0">
      <w:pPr>
        <w:pStyle w:val="NoSpacing"/>
        <w:rPr>
          <w:sz w:val="23"/>
          <w:szCs w:val="23"/>
        </w:rPr>
      </w:pPr>
    </w:p>
    <w:p w14:paraId="4F88D955" w14:textId="5E4DD819" w:rsidR="00CD0FC0" w:rsidRDefault="00CD0FC0" w:rsidP="00CD0FC0">
      <w:pPr>
        <w:pStyle w:val="NoSpacing"/>
      </w:pPr>
      <w:r>
        <w:rPr>
          <w:sz w:val="23"/>
          <w:szCs w:val="23"/>
        </w:rPr>
        <w:t xml:space="preserve">As outlined in the recommendation </w:t>
      </w:r>
      <w:r>
        <w:t xml:space="preserve">and through the SELICB, the Trust has just entered into a partnership with Southbank Centre to offer creative activities to support mental wellbeing of children &amp; young people </w:t>
      </w:r>
      <w:hyperlink r:id="rId9" w:history="1">
        <w:r>
          <w:rPr>
            <w:rStyle w:val="Hyperlink"/>
          </w:rPr>
          <w:t>South London and Maudsley, South East London ICB and Southbank Centre Unite for Health and Arts Partnership</w:t>
        </w:r>
      </w:hyperlink>
    </w:p>
    <w:p w14:paraId="190AB4FD" w14:textId="77777777" w:rsidR="00CD0FC0" w:rsidRDefault="00CD0FC0" w:rsidP="00CD0FC0">
      <w:pPr>
        <w:pStyle w:val="NoSpacing"/>
      </w:pPr>
    </w:p>
    <w:p w14:paraId="12014585" w14:textId="7D606C12" w:rsidR="009F3688" w:rsidRDefault="009F3688" w:rsidP="009F3688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As </w:t>
      </w:r>
      <w:r w:rsidR="00CD0FC0">
        <w:rPr>
          <w:sz w:val="23"/>
          <w:szCs w:val="23"/>
        </w:rPr>
        <w:t>with m</w:t>
      </w:r>
      <w:r>
        <w:rPr>
          <w:sz w:val="23"/>
          <w:szCs w:val="23"/>
        </w:rPr>
        <w:t xml:space="preserve">ost NHS providers, the current difficult financial situation means that there is less flexibility within </w:t>
      </w:r>
      <w:r w:rsidR="00126116">
        <w:rPr>
          <w:sz w:val="23"/>
          <w:szCs w:val="23"/>
        </w:rPr>
        <w:t>our funding</w:t>
      </w:r>
      <w:r>
        <w:rPr>
          <w:sz w:val="23"/>
          <w:szCs w:val="23"/>
        </w:rPr>
        <w:t xml:space="preserve"> to develop new initiatives. However</w:t>
      </w:r>
      <w:r w:rsidR="00D01306">
        <w:rPr>
          <w:sz w:val="23"/>
          <w:szCs w:val="23"/>
        </w:rPr>
        <w:t xml:space="preserve"> </w:t>
      </w:r>
      <w:r>
        <w:rPr>
          <w:sz w:val="23"/>
          <w:szCs w:val="23"/>
        </w:rPr>
        <w:t>there are currently some specific workstreams</w:t>
      </w:r>
      <w:r w:rsidR="00657A44">
        <w:rPr>
          <w:sz w:val="23"/>
          <w:szCs w:val="23"/>
        </w:rPr>
        <w:t xml:space="preserve"> and projects</w:t>
      </w:r>
      <w:r>
        <w:rPr>
          <w:sz w:val="23"/>
          <w:szCs w:val="23"/>
        </w:rPr>
        <w:t xml:space="preserve"> to support better access, experience &amp; outcomes for black </w:t>
      </w:r>
      <w:r w:rsidR="007D5FE8">
        <w:rPr>
          <w:sz w:val="23"/>
          <w:szCs w:val="23"/>
        </w:rPr>
        <w:t>communities</w:t>
      </w:r>
      <w:r>
        <w:rPr>
          <w:sz w:val="23"/>
          <w:szCs w:val="23"/>
        </w:rPr>
        <w:t>:</w:t>
      </w:r>
    </w:p>
    <w:p w14:paraId="43795A64" w14:textId="116A4CF4" w:rsidR="009F3688" w:rsidRDefault="00126116" w:rsidP="009F3688">
      <w:pPr>
        <w:pStyle w:val="NoSpacing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W</w:t>
      </w:r>
      <w:r w:rsidR="009F3688">
        <w:rPr>
          <w:sz w:val="23"/>
          <w:szCs w:val="23"/>
        </w:rPr>
        <w:t>ork to improve uptake of psychological therapies by black men</w:t>
      </w:r>
      <w:r>
        <w:rPr>
          <w:sz w:val="23"/>
          <w:szCs w:val="23"/>
        </w:rPr>
        <w:t xml:space="preserve"> </w:t>
      </w:r>
      <w:hyperlink r:id="rId10" w:history="1">
        <w:r w:rsidRPr="00324EAC">
          <w:rPr>
            <w:rStyle w:val="Hyperlink"/>
            <w:sz w:val="23"/>
            <w:szCs w:val="23"/>
          </w:rPr>
          <w:t>https://www.instagram.com/reel/DEXDOIjuyfO/?igsh=ZXptc3BpeDZ1aWxs</w:t>
        </w:r>
      </w:hyperlink>
    </w:p>
    <w:p w14:paraId="0D1378FD" w14:textId="076DBF61" w:rsidR="007D5FE8" w:rsidRPr="00DE7BFB" w:rsidRDefault="007D5FE8" w:rsidP="009F3688">
      <w:pPr>
        <w:pStyle w:val="NoSpacing"/>
        <w:numPr>
          <w:ilvl w:val="0"/>
          <w:numId w:val="12"/>
        </w:numPr>
        <w:rPr>
          <w:rStyle w:val="Hyperlink"/>
          <w:color w:val="auto"/>
          <w:sz w:val="23"/>
          <w:szCs w:val="23"/>
          <w:u w:val="none"/>
        </w:rPr>
      </w:pPr>
      <w:r>
        <w:rPr>
          <w:sz w:val="23"/>
          <w:szCs w:val="23"/>
        </w:rPr>
        <w:t xml:space="preserve">Talking Therapies Southwark – workshop – “race, identity &amp; me” </w:t>
      </w:r>
      <w:hyperlink r:id="rId11" w:history="1">
        <w:r>
          <w:rPr>
            <w:rStyle w:val="Hyperlink"/>
          </w:rPr>
          <w:t>Initial Treatment Options – Talking Therapies Southwark</w:t>
        </w:r>
      </w:hyperlink>
    </w:p>
    <w:p w14:paraId="111E2DF9" w14:textId="24FD5CD1" w:rsidR="00DE7BFB" w:rsidRPr="00DE7BFB" w:rsidRDefault="00664E01" w:rsidP="009F3688">
      <w:pPr>
        <w:pStyle w:val="NoSpacing"/>
        <w:numPr>
          <w:ilvl w:val="0"/>
          <w:numId w:val="12"/>
        </w:numPr>
        <w:rPr>
          <w:sz w:val="23"/>
          <w:szCs w:val="23"/>
        </w:rPr>
      </w:pPr>
      <w:r>
        <w:rPr>
          <w:rStyle w:val="Hyperlink"/>
          <w:color w:val="auto"/>
          <w:u w:val="none"/>
        </w:rPr>
        <w:t xml:space="preserve">The Grounding Project at </w:t>
      </w:r>
      <w:r w:rsidR="00DE7BFB" w:rsidRPr="00DE7BFB">
        <w:rPr>
          <w:rStyle w:val="Hyperlink"/>
          <w:color w:val="auto"/>
          <w:u w:val="none"/>
        </w:rPr>
        <w:t>Roots &amp; Shoots</w:t>
      </w:r>
      <w:r w:rsidR="00DF260B">
        <w:rPr>
          <w:rStyle w:val="Hyperlink"/>
          <w:color w:val="auto"/>
          <w:u w:val="none"/>
        </w:rPr>
        <w:t xml:space="preserve"> – a project for refugees &amp; asylum </w:t>
      </w:r>
      <w:r w:rsidR="00EA1BDD">
        <w:rPr>
          <w:rStyle w:val="Hyperlink"/>
          <w:color w:val="auto"/>
          <w:u w:val="none"/>
        </w:rPr>
        <w:t>seekers experiencing trauma related difficulties and PTSD</w:t>
      </w:r>
      <w:r w:rsidR="00657A44">
        <w:rPr>
          <w:rStyle w:val="Hyperlink"/>
          <w:color w:val="auto"/>
          <w:u w:val="none"/>
        </w:rPr>
        <w:t xml:space="preserve">. It </w:t>
      </w:r>
      <w:r w:rsidR="00DF260B">
        <w:rPr>
          <w:rStyle w:val="Hyperlink"/>
          <w:color w:val="auto"/>
          <w:u w:val="none"/>
        </w:rPr>
        <w:t>offer</w:t>
      </w:r>
      <w:r w:rsidR="00657A44">
        <w:rPr>
          <w:rStyle w:val="Hyperlink"/>
          <w:color w:val="auto"/>
          <w:u w:val="none"/>
        </w:rPr>
        <w:t>s</w:t>
      </w:r>
      <w:r w:rsidR="00DF260B">
        <w:rPr>
          <w:rStyle w:val="Hyperlink"/>
          <w:color w:val="auto"/>
          <w:u w:val="none"/>
        </w:rPr>
        <w:t xml:space="preserve"> horticultural therapy and</w:t>
      </w:r>
      <w:r w:rsidR="00657A44">
        <w:rPr>
          <w:rStyle w:val="Hyperlink"/>
          <w:color w:val="auto"/>
          <w:u w:val="none"/>
        </w:rPr>
        <w:t xml:space="preserve"> yoga. For more information: </w:t>
      </w:r>
      <w:r w:rsidR="00DF260B">
        <w:rPr>
          <w:rStyle w:val="Hyperlink"/>
          <w:color w:val="auto"/>
          <w:u w:val="none"/>
        </w:rPr>
        <w:t xml:space="preserve"> </w:t>
      </w:r>
      <w:r w:rsidR="00A55334">
        <w:rPr>
          <w:rStyle w:val="Hyperlink"/>
          <w:color w:val="auto"/>
          <w:u w:val="none"/>
        </w:rPr>
        <w:t xml:space="preserve"> </w:t>
      </w:r>
      <w:hyperlink r:id="rId12" w:history="1">
        <w:r w:rsidR="00A55334" w:rsidRPr="00A55334">
          <w:rPr>
            <w:rStyle w:val="Hyperlink"/>
          </w:rPr>
          <w:t>A Kaleidoscope of Butterflies Sculpture Unveiling | Roots and Shoots</w:t>
        </w:r>
      </w:hyperlink>
    </w:p>
    <w:p w14:paraId="78D927C7" w14:textId="0AD0BE5E" w:rsidR="009F3688" w:rsidRDefault="009F3688" w:rsidP="009F3688">
      <w:pPr>
        <w:pStyle w:val="NoSpacing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Peckham Befrienders – black dro</w:t>
      </w:r>
      <w:r w:rsidR="007D5FE8">
        <w:rPr>
          <w:sz w:val="23"/>
          <w:szCs w:val="23"/>
        </w:rPr>
        <w:t>p-</w:t>
      </w:r>
      <w:r>
        <w:rPr>
          <w:sz w:val="23"/>
          <w:szCs w:val="23"/>
        </w:rPr>
        <w:t xml:space="preserve">in support with food/complementary therapies, informal activities </w:t>
      </w:r>
      <w:hyperlink r:id="rId13" w:history="1">
        <w:r w:rsidR="00126116">
          <w:rPr>
            <w:rStyle w:val="Hyperlink"/>
          </w:rPr>
          <w:t>Service Detail - South London and Maudsley</w:t>
        </w:r>
      </w:hyperlink>
    </w:p>
    <w:p w14:paraId="2E766F1C" w14:textId="16D53F2C" w:rsidR="009F3688" w:rsidRDefault="009F3688" w:rsidP="009F3688">
      <w:pPr>
        <w:pStyle w:val="NoSpacing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Massaada – black volunteering initiative </w:t>
      </w:r>
      <w:hyperlink r:id="rId14" w:history="1">
        <w:r>
          <w:rPr>
            <w:rStyle w:val="Hyperlink"/>
          </w:rPr>
          <w:t>Msaada - South London and Maudsley</w:t>
        </w:r>
      </w:hyperlink>
    </w:p>
    <w:p w14:paraId="643B2CBE" w14:textId="46ABE9F4" w:rsidR="009F3688" w:rsidRPr="002C6912" w:rsidRDefault="009F3688" w:rsidP="002C6912">
      <w:pPr>
        <w:pStyle w:val="Default"/>
        <w:rPr>
          <w:rFonts w:ascii="Arial" w:hAnsi="Arial" w:cs="Arial"/>
          <w:b/>
          <w:bCs/>
        </w:rPr>
      </w:pPr>
    </w:p>
    <w:p w14:paraId="3C43EE10" w14:textId="77777777" w:rsidR="00DE7BFB" w:rsidRDefault="00466354" w:rsidP="002C6912">
      <w:pPr>
        <w:pStyle w:val="NoSpacing"/>
      </w:pPr>
      <w:r>
        <w:t>The Trust and the Southwark Directorate continue to work in partnership with local organisations:</w:t>
      </w:r>
      <w:r w:rsidR="00DE7BFB">
        <w:t xml:space="preserve"> for example:</w:t>
      </w:r>
    </w:p>
    <w:p w14:paraId="6EEB954B" w14:textId="1940BCAD" w:rsidR="00DE7BFB" w:rsidRDefault="00DE7BFB" w:rsidP="00DE7BFB">
      <w:pPr>
        <w:pStyle w:val="NoSpacing"/>
        <w:numPr>
          <w:ilvl w:val="0"/>
          <w:numId w:val="18"/>
        </w:numPr>
      </w:pPr>
      <w:r>
        <w:t>Tree of Life Workshops</w:t>
      </w:r>
      <w:r w:rsidR="00664E01">
        <w:t xml:space="preserve"> (presentation available)</w:t>
      </w:r>
      <w:r>
        <w:t xml:space="preserve"> for faith members in Southwark at the Copleston Centre in 2023</w:t>
      </w:r>
      <w:r w:rsidR="00664E01">
        <w:t xml:space="preserve"> w</w:t>
      </w:r>
      <w:r>
        <w:t>hich aimed to promote &amp; understand barriers to accessing psychological therapies</w:t>
      </w:r>
    </w:p>
    <w:p w14:paraId="1F9623C0" w14:textId="2B022C8C" w:rsidR="00466354" w:rsidRDefault="00466354" w:rsidP="00DE7BFB">
      <w:pPr>
        <w:pStyle w:val="NoSpacing"/>
        <w:numPr>
          <w:ilvl w:val="0"/>
          <w:numId w:val="18"/>
        </w:numPr>
      </w:pPr>
      <w:r>
        <w:t>October 2024 Southwark Black History Month event in Collaboration with Africa Centre</w:t>
      </w:r>
      <w:r w:rsidR="008C19B0">
        <w:t xml:space="preserve">.  </w:t>
      </w:r>
    </w:p>
    <w:p w14:paraId="794EE600" w14:textId="56693157" w:rsidR="00090331" w:rsidRDefault="00090331" w:rsidP="002C6912">
      <w:pPr>
        <w:pStyle w:val="NoSpacing"/>
      </w:pPr>
    </w:p>
    <w:p w14:paraId="05DF7193" w14:textId="6814CFAB" w:rsidR="00B43864" w:rsidRDefault="00466354" w:rsidP="00466354">
      <w:pPr>
        <w:pStyle w:val="Default"/>
        <w:rPr>
          <w:rFonts w:ascii="Arial" w:hAnsi="Arial" w:cs="Arial"/>
          <w:b/>
          <w:bCs/>
          <w:color w:val="0070C0"/>
        </w:rPr>
      </w:pPr>
      <w:r w:rsidRPr="00466354">
        <w:rPr>
          <w:rFonts w:ascii="Arial" w:hAnsi="Arial" w:cs="Arial"/>
          <w:b/>
          <w:bCs/>
          <w:color w:val="0070C0"/>
        </w:rPr>
        <w:t xml:space="preserve">Recommendation 3:  </w:t>
      </w:r>
    </w:p>
    <w:p w14:paraId="6FD53685" w14:textId="46C81BCD" w:rsidR="00466354" w:rsidRPr="00B43864" w:rsidRDefault="00466354" w:rsidP="00466354">
      <w:pPr>
        <w:pStyle w:val="Default"/>
        <w:rPr>
          <w:rFonts w:ascii="Arial" w:hAnsi="Arial" w:cs="Arial"/>
          <w:b/>
          <w:bCs/>
          <w:color w:val="auto"/>
        </w:rPr>
      </w:pPr>
      <w:r w:rsidRPr="00B43864">
        <w:rPr>
          <w:rFonts w:ascii="Arial" w:hAnsi="Arial" w:cs="Arial"/>
          <w:b/>
          <w:bCs/>
          <w:color w:val="auto"/>
        </w:rPr>
        <w:t xml:space="preserve">Provide training and support for VCS groups and community leaders, </w:t>
      </w:r>
      <w:r w:rsidR="0052158E" w:rsidRPr="00B43864">
        <w:rPr>
          <w:rFonts w:ascii="Arial" w:hAnsi="Arial" w:cs="Arial"/>
          <w:b/>
          <w:bCs/>
          <w:color w:val="auto"/>
        </w:rPr>
        <w:t xml:space="preserve"> </w:t>
      </w:r>
      <w:r w:rsidRPr="00B43864">
        <w:rPr>
          <w:rFonts w:ascii="Arial" w:hAnsi="Arial" w:cs="Arial"/>
          <w:b/>
          <w:bCs/>
          <w:color w:val="auto"/>
        </w:rPr>
        <w:t xml:space="preserve">and evaluate the effectiveness of these courses for all service providers. </w:t>
      </w:r>
    </w:p>
    <w:p w14:paraId="10E5DDC9" w14:textId="0EABA70F" w:rsidR="00A368DE" w:rsidRDefault="00A368DE" w:rsidP="00466354">
      <w:pPr>
        <w:pStyle w:val="Default"/>
        <w:rPr>
          <w:rFonts w:ascii="Arial" w:hAnsi="Arial" w:cs="Arial"/>
        </w:rPr>
      </w:pPr>
      <w:r w:rsidRPr="007D5FE8">
        <w:rPr>
          <w:rFonts w:ascii="Arial" w:hAnsi="Arial" w:cs="Arial"/>
          <w:color w:val="auto"/>
        </w:rPr>
        <w:t>The Trust is a key partner in South London Listens.</w:t>
      </w:r>
      <w:r w:rsidRPr="007D5FE8">
        <w:rPr>
          <w:rFonts w:ascii="Arial" w:hAnsi="Arial" w:cs="Arial"/>
        </w:rPr>
        <w:t xml:space="preserve"> </w:t>
      </w:r>
      <w:hyperlink r:id="rId15" w:history="1">
        <w:r w:rsidRPr="007D5FE8">
          <w:rPr>
            <w:rStyle w:val="Hyperlink"/>
            <w:rFonts w:ascii="Arial" w:hAnsi="Arial" w:cs="Arial"/>
          </w:rPr>
          <w:t>Services 1 — South London Listens</w:t>
        </w:r>
      </w:hyperlink>
      <w:r w:rsidRPr="007D5FE8">
        <w:rPr>
          <w:rFonts w:ascii="Arial" w:hAnsi="Arial" w:cs="Arial"/>
        </w:rPr>
        <w:t xml:space="preserve">  </w:t>
      </w:r>
      <w:r w:rsidRPr="007D5FE8">
        <w:rPr>
          <w:rFonts w:ascii="Arial" w:hAnsi="Arial" w:cs="Arial"/>
          <w:color w:val="auto"/>
        </w:rPr>
        <w:t xml:space="preserve">Part of the work of South London Listens is the development of Be Well Hubs and Champions </w:t>
      </w:r>
      <w:hyperlink r:id="rId16" w:history="1">
        <w:r w:rsidRPr="007D5FE8">
          <w:rPr>
            <w:rStyle w:val="Hyperlink"/>
            <w:rFonts w:ascii="Arial" w:hAnsi="Arial" w:cs="Arial"/>
          </w:rPr>
          <w:t>Be Well Champions — South London Listens</w:t>
        </w:r>
      </w:hyperlink>
      <w:r w:rsidRPr="007D5FE8">
        <w:rPr>
          <w:rFonts w:ascii="Arial" w:hAnsi="Arial" w:cs="Arial"/>
        </w:rPr>
        <w:t xml:space="preserve"> which includes significant activity in Southwark.  For information about impact &amp; evaluation see: </w:t>
      </w:r>
      <w:hyperlink r:id="rId17" w:history="1">
        <w:r w:rsidRPr="007D5FE8">
          <w:rPr>
            <w:rStyle w:val="Hyperlink"/>
            <w:rFonts w:ascii="Arial" w:hAnsi="Arial" w:cs="Arial"/>
          </w:rPr>
          <w:t>Services 1 — South London Listens</w:t>
        </w:r>
      </w:hyperlink>
    </w:p>
    <w:p w14:paraId="22CA305B" w14:textId="77777777" w:rsidR="007D5FE8" w:rsidRDefault="007D5FE8" w:rsidP="00466354">
      <w:pPr>
        <w:pStyle w:val="Default"/>
        <w:rPr>
          <w:rFonts w:ascii="Arial" w:hAnsi="Arial" w:cs="Arial"/>
        </w:rPr>
      </w:pPr>
    </w:p>
    <w:p w14:paraId="43BD1AE6" w14:textId="26EBCCBC" w:rsidR="007D5FE8" w:rsidRPr="00BD58BF" w:rsidRDefault="007D5FE8" w:rsidP="00466354">
      <w:pPr>
        <w:pStyle w:val="Default"/>
        <w:rPr>
          <w:rFonts w:ascii="Arial" w:hAnsi="Arial" w:cs="Arial"/>
          <w:color w:val="auto"/>
        </w:rPr>
      </w:pPr>
      <w:r w:rsidRPr="00BD58BF">
        <w:rPr>
          <w:rFonts w:ascii="Arial" w:hAnsi="Arial" w:cs="Arial"/>
        </w:rPr>
        <w:lastRenderedPageBreak/>
        <w:t>The Trust</w:t>
      </w:r>
      <w:r w:rsidR="00BD58BF" w:rsidRPr="00BD58BF">
        <w:rPr>
          <w:rFonts w:ascii="Arial" w:hAnsi="Arial" w:cs="Arial"/>
        </w:rPr>
        <w:t xml:space="preserve"> provides a comprehensive </w:t>
      </w:r>
      <w:r w:rsidR="00B43864">
        <w:rPr>
          <w:rFonts w:ascii="Arial" w:hAnsi="Arial" w:cs="Arial"/>
        </w:rPr>
        <w:t>set</w:t>
      </w:r>
      <w:r w:rsidR="00BD58BF" w:rsidRPr="00BD58BF">
        <w:rPr>
          <w:rFonts w:ascii="Arial" w:hAnsi="Arial" w:cs="Arial"/>
        </w:rPr>
        <w:t xml:space="preserve"> of workshops and courses through the Recovery College. </w:t>
      </w:r>
      <w:hyperlink r:id="rId18" w:history="1">
        <w:r w:rsidR="00BD58BF" w:rsidRPr="00BD58BF">
          <w:rPr>
            <w:rStyle w:val="Hyperlink"/>
            <w:rFonts w:ascii="Arial" w:hAnsi="Arial" w:cs="Arial"/>
          </w:rPr>
          <w:t>Latest Timetable</w:t>
        </w:r>
      </w:hyperlink>
      <w:r w:rsidR="00BD58BF" w:rsidRPr="00BD58BF">
        <w:rPr>
          <w:rFonts w:ascii="Arial" w:hAnsi="Arial" w:cs="Arial"/>
        </w:rPr>
        <w:t xml:space="preserve">  In person courses are for people who have a connection with the trust as a service user, carer, staff member etc.  Online courses are open to all</w:t>
      </w:r>
      <w:r w:rsidR="00B43864">
        <w:rPr>
          <w:rFonts w:ascii="Arial" w:hAnsi="Arial" w:cs="Arial"/>
        </w:rPr>
        <w:t xml:space="preserve"> at no cost. </w:t>
      </w:r>
      <w:r w:rsidR="00BD58BF" w:rsidRPr="00BD58BF">
        <w:rPr>
          <w:rFonts w:ascii="Arial" w:hAnsi="Arial" w:cs="Arial"/>
        </w:rPr>
        <w:t>A number of in person workshops are held at venues in the borough</w:t>
      </w:r>
      <w:r w:rsidR="00BD58BF">
        <w:rPr>
          <w:rFonts w:ascii="Arial" w:hAnsi="Arial" w:cs="Arial"/>
        </w:rPr>
        <w:t>.</w:t>
      </w:r>
    </w:p>
    <w:p w14:paraId="5D5C836C" w14:textId="77777777" w:rsidR="00466354" w:rsidRDefault="00466354" w:rsidP="002C6912">
      <w:pPr>
        <w:pStyle w:val="NoSpacing"/>
      </w:pPr>
    </w:p>
    <w:p w14:paraId="2935B5A8" w14:textId="5940C01B" w:rsidR="00BD58BF" w:rsidRDefault="00BD58BF" w:rsidP="002C6912">
      <w:pPr>
        <w:pStyle w:val="NoSpacing"/>
      </w:pPr>
      <w:r>
        <w:t xml:space="preserve">The Trust has a Mental Health Promotion department which can offer training, </w:t>
      </w:r>
      <w:r w:rsidR="00B43864">
        <w:t>however these</w:t>
      </w:r>
      <w:r w:rsidR="008C59F8">
        <w:t xml:space="preserve"> initiatives</w:t>
      </w:r>
      <w:r w:rsidR="00B43864">
        <w:t xml:space="preserve"> need to be commissioned. </w:t>
      </w:r>
      <w:hyperlink r:id="rId19" w:history="1">
        <w:r w:rsidR="00B43864">
          <w:rPr>
            <w:rStyle w:val="Hyperlink"/>
          </w:rPr>
          <w:t>Information about the Mental Health Promotion team at South London and Maudsley</w:t>
        </w:r>
      </w:hyperlink>
    </w:p>
    <w:p w14:paraId="63B915D1" w14:textId="77777777" w:rsidR="00BD58BF" w:rsidRDefault="00BD58BF" w:rsidP="002C6912">
      <w:pPr>
        <w:pStyle w:val="NoSpacing"/>
      </w:pPr>
    </w:p>
    <w:p w14:paraId="24191C06" w14:textId="19527181" w:rsidR="007D5FE8" w:rsidRDefault="007D5FE8" w:rsidP="002C6912">
      <w:pPr>
        <w:pStyle w:val="NoSpacing"/>
      </w:pPr>
      <w:r>
        <w:t xml:space="preserve">To provide a comprehensive and co-produced borough-wide training &amp; support programme for VCS groups and community leaders would need significant investment and co-ordination. This is a </w:t>
      </w:r>
      <w:r w:rsidR="00B43864">
        <w:t xml:space="preserve">system wide </w:t>
      </w:r>
      <w:r>
        <w:t>commissioning issue</w:t>
      </w:r>
      <w:r w:rsidR="00B43864">
        <w:t xml:space="preserve">. The Trust would be very interested to be part of future discussions about how this recommendation could be implemented. </w:t>
      </w:r>
    </w:p>
    <w:p w14:paraId="1EA11D27" w14:textId="77777777" w:rsidR="00B43864" w:rsidRDefault="00B43864" w:rsidP="002C6912">
      <w:pPr>
        <w:pStyle w:val="NoSpacing"/>
      </w:pPr>
    </w:p>
    <w:p w14:paraId="572FC44A" w14:textId="1D82D1FB" w:rsidR="00B43864" w:rsidRDefault="00B43864" w:rsidP="002C6912">
      <w:pPr>
        <w:pStyle w:val="NoSpacing"/>
        <w:rPr>
          <w:b/>
          <w:bCs/>
          <w:color w:val="0070C0"/>
        </w:rPr>
      </w:pPr>
      <w:r w:rsidRPr="00B43864">
        <w:rPr>
          <w:b/>
          <w:bCs/>
          <w:color w:val="0070C0"/>
        </w:rPr>
        <w:t>Recommendation 4:</w:t>
      </w:r>
      <w:r>
        <w:rPr>
          <w:b/>
          <w:bCs/>
          <w:color w:val="0070C0"/>
        </w:rPr>
        <w:t xml:space="preserve">  </w:t>
      </w:r>
    </w:p>
    <w:p w14:paraId="7290C1FD" w14:textId="77777777" w:rsidR="00B43864" w:rsidRPr="00B43864" w:rsidRDefault="00B43864" w:rsidP="00B43864">
      <w:pPr>
        <w:pStyle w:val="Default"/>
        <w:rPr>
          <w:rFonts w:ascii="Arial" w:hAnsi="Arial" w:cs="Arial"/>
          <w:b/>
          <w:bCs/>
        </w:rPr>
      </w:pPr>
      <w:r w:rsidRPr="00B43864">
        <w:rPr>
          <w:rFonts w:ascii="Arial" w:hAnsi="Arial" w:cs="Arial"/>
          <w:b/>
          <w:bCs/>
        </w:rPr>
        <w:t xml:space="preserve">Facilitate cross-sector collaboration. </w:t>
      </w:r>
    </w:p>
    <w:p w14:paraId="27669EFE" w14:textId="7B8D07AD" w:rsidR="00B43864" w:rsidRDefault="008C59F8" w:rsidP="002C6912">
      <w:pPr>
        <w:pStyle w:val="NoSpacing"/>
      </w:pPr>
      <w:r w:rsidRPr="008C59F8">
        <w:t>The Trust is very happy to</w:t>
      </w:r>
      <w:r>
        <w:t xml:space="preserve"> participate in collaborative work to improve access to the right support for our communities</w:t>
      </w:r>
    </w:p>
    <w:p w14:paraId="6EB6A2B3" w14:textId="5710785B" w:rsidR="008C59F8" w:rsidRDefault="008C59F8" w:rsidP="002C6912">
      <w:pPr>
        <w:pStyle w:val="NoSpacing"/>
      </w:pPr>
    </w:p>
    <w:p w14:paraId="73D3E15B" w14:textId="72A3564A" w:rsidR="00591BDE" w:rsidRPr="00591BDE" w:rsidRDefault="00591BDE" w:rsidP="00591BDE">
      <w:pPr>
        <w:pStyle w:val="Default"/>
        <w:rPr>
          <w:rFonts w:ascii="Arial" w:hAnsi="Arial" w:cs="Arial"/>
          <w:b/>
          <w:bCs/>
          <w:color w:val="0070C0"/>
        </w:rPr>
      </w:pPr>
      <w:r w:rsidRPr="00591BDE">
        <w:rPr>
          <w:rFonts w:ascii="Arial" w:hAnsi="Arial" w:cs="Arial"/>
          <w:b/>
          <w:bCs/>
          <w:color w:val="0070C0"/>
        </w:rPr>
        <w:t>Recommendation 5:</w:t>
      </w:r>
    </w:p>
    <w:p w14:paraId="227959E5" w14:textId="3FA6E161" w:rsidR="00591BDE" w:rsidRDefault="00591BDE" w:rsidP="00591BDE">
      <w:pPr>
        <w:pStyle w:val="Default"/>
        <w:rPr>
          <w:rFonts w:ascii="Arial" w:hAnsi="Arial" w:cs="Arial"/>
          <w:b/>
          <w:bCs/>
        </w:rPr>
      </w:pPr>
      <w:r w:rsidRPr="00591BDE">
        <w:rPr>
          <w:rFonts w:ascii="Arial" w:hAnsi="Arial" w:cs="Arial"/>
          <w:b/>
          <w:bCs/>
        </w:rPr>
        <w:t xml:space="preserve">Embed the Patient and Carer Race Equality Framework (PCREF) across all mental health services. </w:t>
      </w:r>
    </w:p>
    <w:p w14:paraId="04ADAD78" w14:textId="76FC90DB" w:rsidR="009F42F2" w:rsidRDefault="009F42F2" w:rsidP="00591BDE">
      <w:pPr>
        <w:pStyle w:val="Default"/>
        <w:rPr>
          <w:rFonts w:ascii="Arial" w:hAnsi="Arial" w:cs="Arial"/>
        </w:rPr>
      </w:pPr>
      <w:r w:rsidRPr="005867F0">
        <w:rPr>
          <w:rFonts w:ascii="Arial" w:hAnsi="Arial" w:cs="Arial"/>
        </w:rPr>
        <w:t>The Trust</w:t>
      </w:r>
      <w:r w:rsidR="005867F0">
        <w:rPr>
          <w:rFonts w:ascii="Arial" w:hAnsi="Arial" w:cs="Arial"/>
        </w:rPr>
        <w:t xml:space="preserve"> has</w:t>
      </w:r>
      <w:r w:rsidRPr="005867F0">
        <w:rPr>
          <w:rFonts w:ascii="Arial" w:hAnsi="Arial" w:cs="Arial"/>
        </w:rPr>
        <w:t xml:space="preserve"> initiated the PCREF approac</w:t>
      </w:r>
      <w:r w:rsidR="005867F0" w:rsidRPr="005867F0">
        <w:rPr>
          <w:rFonts w:ascii="Arial" w:hAnsi="Arial" w:cs="Arial"/>
        </w:rPr>
        <w:t xml:space="preserve">h </w:t>
      </w:r>
      <w:hyperlink r:id="rId20" w:history="1">
        <w:r w:rsidR="005867F0" w:rsidRPr="005867F0">
          <w:rPr>
            <w:rStyle w:val="Hyperlink"/>
            <w:rFonts w:ascii="Arial" w:hAnsi="Arial" w:cs="Arial"/>
          </w:rPr>
          <w:t>Patient and Carer Race Equality Framework (PCREF) at South London and Maudsley</w:t>
        </w:r>
      </w:hyperlink>
      <w:r w:rsidR="00503CD5">
        <w:rPr>
          <w:rFonts w:ascii="Arial" w:hAnsi="Arial" w:cs="Arial"/>
        </w:rPr>
        <w:t xml:space="preserve">  The 3 stakeholder groups for this include services users &amp; carers, the community (facilitated through Black Thrive) &amp; staff. </w:t>
      </w:r>
      <w:r w:rsidR="00032D27">
        <w:rPr>
          <w:rFonts w:ascii="Arial" w:hAnsi="Arial" w:cs="Arial"/>
        </w:rPr>
        <w:t xml:space="preserve"> In Southwark</w:t>
      </w:r>
      <w:r w:rsidR="00174B29">
        <w:rPr>
          <w:rFonts w:ascii="Arial" w:hAnsi="Arial" w:cs="Arial"/>
        </w:rPr>
        <w:t xml:space="preserve"> work focusses on the following priorities:</w:t>
      </w:r>
    </w:p>
    <w:p w14:paraId="2397095C" w14:textId="77777777" w:rsidR="0097528C" w:rsidRPr="0097528C" w:rsidRDefault="0097528C" w:rsidP="0097528C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97528C">
        <w:rPr>
          <w:rFonts w:ascii="Arial" w:hAnsi="Arial" w:cs="Arial"/>
        </w:rPr>
        <w:t>Change ideas for black male service users;</w:t>
      </w:r>
    </w:p>
    <w:p w14:paraId="744EE70F" w14:textId="77777777" w:rsidR="0097528C" w:rsidRPr="0097528C" w:rsidRDefault="0097528C" w:rsidP="0097528C">
      <w:pPr>
        <w:pStyle w:val="Default"/>
        <w:numPr>
          <w:ilvl w:val="1"/>
          <w:numId w:val="19"/>
        </w:numPr>
        <w:rPr>
          <w:rFonts w:ascii="Arial" w:hAnsi="Arial" w:cs="Arial"/>
        </w:rPr>
      </w:pPr>
      <w:r w:rsidRPr="0097528C">
        <w:rPr>
          <w:rFonts w:ascii="Arial" w:hAnsi="Arial" w:cs="Arial"/>
        </w:rPr>
        <w:t>Reducing seclusion</w:t>
      </w:r>
    </w:p>
    <w:p w14:paraId="12032616" w14:textId="77777777" w:rsidR="0097528C" w:rsidRPr="0097528C" w:rsidRDefault="0097528C" w:rsidP="0097528C">
      <w:pPr>
        <w:pStyle w:val="Default"/>
        <w:numPr>
          <w:ilvl w:val="1"/>
          <w:numId w:val="19"/>
        </w:numPr>
        <w:rPr>
          <w:rFonts w:ascii="Arial" w:hAnsi="Arial" w:cs="Arial"/>
        </w:rPr>
      </w:pPr>
      <w:r w:rsidRPr="0097528C">
        <w:rPr>
          <w:rFonts w:ascii="Arial" w:hAnsi="Arial" w:cs="Arial"/>
        </w:rPr>
        <w:t>Reducing restrictive practice</w:t>
      </w:r>
    </w:p>
    <w:p w14:paraId="1DD8C262" w14:textId="77777777" w:rsidR="0097528C" w:rsidRPr="0097528C" w:rsidRDefault="0097528C" w:rsidP="0097528C">
      <w:pPr>
        <w:pStyle w:val="Default"/>
        <w:numPr>
          <w:ilvl w:val="1"/>
          <w:numId w:val="19"/>
        </w:numPr>
        <w:rPr>
          <w:rFonts w:ascii="Arial" w:hAnsi="Arial" w:cs="Arial"/>
        </w:rPr>
      </w:pPr>
      <w:r w:rsidRPr="0097528C">
        <w:rPr>
          <w:rFonts w:ascii="Arial" w:hAnsi="Arial" w:cs="Arial"/>
        </w:rPr>
        <w:t>Reducing violence and aggression</w:t>
      </w:r>
    </w:p>
    <w:p w14:paraId="13A5B28A" w14:textId="77777777" w:rsidR="00640C1E" w:rsidRDefault="0097528C" w:rsidP="00640C1E">
      <w:pPr>
        <w:pStyle w:val="Defaul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Reducing the number of complaints. </w:t>
      </w:r>
    </w:p>
    <w:p w14:paraId="00F506D0" w14:textId="0CF0F9A4" w:rsidR="0097528C" w:rsidRDefault="0097528C" w:rsidP="0097528C">
      <w:pPr>
        <w:pStyle w:val="Defaul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aim to do this by: </w:t>
      </w:r>
    </w:p>
    <w:p w14:paraId="5DB8A0EF" w14:textId="73899A65" w:rsidR="0097528C" w:rsidRPr="0097528C" w:rsidRDefault="0097528C" w:rsidP="0097528C">
      <w:pPr>
        <w:pStyle w:val="Default"/>
        <w:numPr>
          <w:ilvl w:val="1"/>
          <w:numId w:val="19"/>
        </w:numPr>
        <w:rPr>
          <w:rFonts w:ascii="Arial" w:hAnsi="Arial" w:cs="Arial"/>
        </w:rPr>
      </w:pPr>
      <w:r w:rsidRPr="0097528C">
        <w:rPr>
          <w:rFonts w:ascii="Arial" w:hAnsi="Arial" w:cs="Arial"/>
        </w:rPr>
        <w:t>Having trained PCREF inpatient champions</w:t>
      </w:r>
    </w:p>
    <w:p w14:paraId="0F02D30F" w14:textId="77777777" w:rsidR="0097528C" w:rsidRPr="0097528C" w:rsidRDefault="0097528C" w:rsidP="0097528C">
      <w:pPr>
        <w:pStyle w:val="Default"/>
        <w:numPr>
          <w:ilvl w:val="1"/>
          <w:numId w:val="19"/>
        </w:numPr>
        <w:rPr>
          <w:rFonts w:ascii="Arial" w:hAnsi="Arial" w:cs="Arial"/>
        </w:rPr>
      </w:pPr>
      <w:r w:rsidRPr="0097528C">
        <w:rPr>
          <w:rFonts w:ascii="Arial" w:hAnsi="Arial" w:cs="Arial"/>
        </w:rPr>
        <w:t>Holding quarterly roadshows for staff, service users, carers and the local community</w:t>
      </w:r>
    </w:p>
    <w:p w14:paraId="7A679EF1" w14:textId="77777777" w:rsidR="0097528C" w:rsidRPr="0097528C" w:rsidRDefault="0097528C" w:rsidP="0097528C">
      <w:pPr>
        <w:pStyle w:val="Default"/>
        <w:numPr>
          <w:ilvl w:val="1"/>
          <w:numId w:val="19"/>
        </w:numPr>
        <w:rPr>
          <w:rFonts w:ascii="Arial" w:hAnsi="Arial" w:cs="Arial"/>
        </w:rPr>
      </w:pPr>
      <w:r w:rsidRPr="0097528C">
        <w:rPr>
          <w:rFonts w:ascii="Arial" w:hAnsi="Arial" w:cs="Arial"/>
        </w:rPr>
        <w:t>A monthly co-learning group with inpatient ward managers, senior managers and PCREF triple leadership members</w:t>
      </w:r>
    </w:p>
    <w:p w14:paraId="7449821A" w14:textId="77777777" w:rsidR="0097528C" w:rsidRPr="0097528C" w:rsidRDefault="0097528C" w:rsidP="0097528C">
      <w:pPr>
        <w:pStyle w:val="Default"/>
        <w:numPr>
          <w:ilvl w:val="1"/>
          <w:numId w:val="19"/>
        </w:numPr>
        <w:rPr>
          <w:rFonts w:ascii="Arial" w:hAnsi="Arial" w:cs="Arial"/>
        </w:rPr>
      </w:pPr>
      <w:r w:rsidRPr="0097528C">
        <w:rPr>
          <w:rFonts w:ascii="Arial" w:hAnsi="Arial" w:cs="Arial"/>
        </w:rPr>
        <w:t>6 monthly PCREF network meetings</w:t>
      </w:r>
    </w:p>
    <w:p w14:paraId="527FE7DD" w14:textId="77777777" w:rsidR="0097528C" w:rsidRPr="005867F0" w:rsidRDefault="0097528C" w:rsidP="00591BDE">
      <w:pPr>
        <w:pStyle w:val="Default"/>
        <w:rPr>
          <w:rFonts w:ascii="Arial" w:hAnsi="Arial" w:cs="Arial"/>
        </w:rPr>
      </w:pPr>
    </w:p>
    <w:p w14:paraId="46A08407" w14:textId="0C1812C3" w:rsidR="006424EE" w:rsidRPr="006424EE" w:rsidRDefault="006424EE" w:rsidP="002C6912">
      <w:pPr>
        <w:pStyle w:val="NoSpacing"/>
        <w:rPr>
          <w:b/>
          <w:bCs/>
          <w:color w:val="0070C0"/>
        </w:rPr>
      </w:pPr>
      <w:r w:rsidRPr="006424EE">
        <w:rPr>
          <w:b/>
          <w:bCs/>
          <w:color w:val="0070C0"/>
        </w:rPr>
        <w:t xml:space="preserve">Recommendation 6: </w:t>
      </w:r>
    </w:p>
    <w:p w14:paraId="2F5FB925" w14:textId="77777777" w:rsidR="006424EE" w:rsidRPr="006424EE" w:rsidRDefault="006424EE" w:rsidP="006424EE">
      <w:pPr>
        <w:pStyle w:val="Default"/>
        <w:rPr>
          <w:rFonts w:ascii="Arial" w:hAnsi="Arial" w:cs="Arial"/>
          <w:b/>
          <w:bCs/>
        </w:rPr>
      </w:pPr>
      <w:r w:rsidRPr="006424EE">
        <w:rPr>
          <w:rFonts w:ascii="Arial" w:hAnsi="Arial" w:cs="Arial"/>
          <w:b/>
          <w:bCs/>
        </w:rPr>
        <w:t xml:space="preserve">Commission a ‘Taster Day’ event for community-based mental health services and use learnings to support the implementation of Recommendation 2. </w:t>
      </w:r>
    </w:p>
    <w:p w14:paraId="66B0DA65" w14:textId="15361B83" w:rsidR="006424EE" w:rsidRDefault="00EC0294" w:rsidP="002C6912">
      <w:pPr>
        <w:pStyle w:val="NoSpacing"/>
      </w:pPr>
      <w:r>
        <w:t>The Trust would be very happy to be involved in the planning and delivery of an event such as this</w:t>
      </w:r>
      <w:r w:rsidR="00610C33">
        <w:t xml:space="preserve"> if it is commissioned. </w:t>
      </w:r>
    </w:p>
    <w:p w14:paraId="48B37262" w14:textId="77777777" w:rsidR="00EC0294" w:rsidRDefault="00EC0294" w:rsidP="002C6912">
      <w:pPr>
        <w:pStyle w:val="NoSpacing"/>
      </w:pPr>
    </w:p>
    <w:p w14:paraId="1F4289F9" w14:textId="77777777" w:rsidR="007F1850" w:rsidRDefault="007F1850" w:rsidP="002C6912">
      <w:pPr>
        <w:pStyle w:val="NoSpacing"/>
        <w:rPr>
          <w:b/>
          <w:bCs/>
          <w:color w:val="0070C0"/>
        </w:rPr>
      </w:pPr>
    </w:p>
    <w:p w14:paraId="4D9FE2EC" w14:textId="77777777" w:rsidR="007F1850" w:rsidRDefault="007F1850" w:rsidP="002C6912">
      <w:pPr>
        <w:pStyle w:val="NoSpacing"/>
        <w:rPr>
          <w:b/>
          <w:bCs/>
          <w:color w:val="0070C0"/>
        </w:rPr>
      </w:pPr>
    </w:p>
    <w:p w14:paraId="3EDFBE51" w14:textId="77777777" w:rsidR="007F1850" w:rsidRDefault="007F1850" w:rsidP="002C6912">
      <w:pPr>
        <w:pStyle w:val="NoSpacing"/>
        <w:rPr>
          <w:b/>
          <w:bCs/>
          <w:color w:val="0070C0"/>
        </w:rPr>
      </w:pPr>
    </w:p>
    <w:p w14:paraId="280A4D28" w14:textId="09D15613" w:rsidR="00EC0294" w:rsidRDefault="00EC0294" w:rsidP="002C6912">
      <w:pPr>
        <w:pStyle w:val="NoSpacing"/>
        <w:rPr>
          <w:b/>
          <w:bCs/>
          <w:color w:val="0070C0"/>
        </w:rPr>
      </w:pPr>
      <w:r w:rsidRPr="00EC0294">
        <w:rPr>
          <w:b/>
          <w:bCs/>
          <w:color w:val="0070C0"/>
        </w:rPr>
        <w:lastRenderedPageBreak/>
        <w:t>Recommendation 7:</w:t>
      </w:r>
    </w:p>
    <w:p w14:paraId="3DF2FDBD" w14:textId="77777777" w:rsidR="00EC0294" w:rsidRPr="00EC0294" w:rsidRDefault="00EC0294" w:rsidP="00EC0294">
      <w:pPr>
        <w:pStyle w:val="Default"/>
        <w:rPr>
          <w:rFonts w:ascii="Arial" w:hAnsi="Arial" w:cs="Arial"/>
          <w:b/>
          <w:bCs/>
        </w:rPr>
      </w:pPr>
      <w:r w:rsidRPr="00EC0294">
        <w:rPr>
          <w:rFonts w:ascii="Arial" w:hAnsi="Arial" w:cs="Arial"/>
          <w:b/>
          <w:bCs/>
        </w:rPr>
        <w:t xml:space="preserve">Consult with non-clinical and community-based mental health services to identify needs and establish good practice models. </w:t>
      </w:r>
    </w:p>
    <w:p w14:paraId="13213933" w14:textId="17C63EC4" w:rsidR="00F53500" w:rsidRDefault="00F53500" w:rsidP="002C6912">
      <w:pPr>
        <w:pStyle w:val="NoSpacing"/>
      </w:pPr>
      <w:r w:rsidRPr="00F53500">
        <w:t>The Trust is happy to share learning from the pilot community mental health model in Lewisham</w:t>
      </w:r>
      <w:r>
        <w:t xml:space="preserve"> and equally to learn from models of good practice in local non NHS organisations</w:t>
      </w:r>
      <w:r w:rsidR="008A5735">
        <w:t xml:space="preserve"> developing new partnerships where appropriate.  </w:t>
      </w:r>
    </w:p>
    <w:p w14:paraId="2A83A9B9" w14:textId="77777777" w:rsidR="008A5735" w:rsidRDefault="008A5735" w:rsidP="002C6912">
      <w:pPr>
        <w:pStyle w:val="NoSpacing"/>
      </w:pPr>
    </w:p>
    <w:p w14:paraId="5044039D" w14:textId="45537A2D" w:rsidR="00F53500" w:rsidRPr="00F53500" w:rsidRDefault="00F53500" w:rsidP="00F53500">
      <w:pPr>
        <w:pStyle w:val="Default"/>
        <w:rPr>
          <w:rFonts w:ascii="Arial" w:hAnsi="Arial" w:cs="Arial"/>
          <w:b/>
          <w:bCs/>
          <w:color w:val="0070C0"/>
        </w:rPr>
      </w:pPr>
      <w:r w:rsidRPr="00F53500">
        <w:rPr>
          <w:rFonts w:ascii="Arial" w:hAnsi="Arial" w:cs="Arial"/>
          <w:b/>
          <w:bCs/>
          <w:color w:val="0070C0"/>
        </w:rPr>
        <w:t xml:space="preserve">Recommendation 8: </w:t>
      </w:r>
    </w:p>
    <w:p w14:paraId="5C4B8523" w14:textId="77777777" w:rsidR="00F53500" w:rsidRDefault="00F53500" w:rsidP="00F53500">
      <w:pPr>
        <w:pStyle w:val="Default"/>
        <w:rPr>
          <w:rFonts w:ascii="Arial" w:hAnsi="Arial" w:cs="Arial"/>
          <w:b/>
          <w:bCs/>
        </w:rPr>
      </w:pPr>
      <w:r w:rsidRPr="00F53500">
        <w:rPr>
          <w:rFonts w:ascii="Arial" w:hAnsi="Arial" w:cs="Arial"/>
          <w:b/>
          <w:bCs/>
        </w:rPr>
        <w:t xml:space="preserve">Implement a targeted mental health awareness campaign for Black men. </w:t>
      </w:r>
    </w:p>
    <w:p w14:paraId="498F68AD" w14:textId="28FBBC38" w:rsidR="00610C33" w:rsidRPr="00610C33" w:rsidRDefault="00610C33" w:rsidP="00F5350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The Trust will continue to work on developing information that clearly and effectively describes what is on offer to local communities</w:t>
      </w:r>
      <w:r w:rsidR="009B782D">
        <w:rPr>
          <w:rFonts w:ascii="Arial" w:hAnsi="Arial" w:cs="Arial"/>
        </w:rPr>
        <w:t xml:space="preserve">, including support &amp; information provided by local voluntary sector groups and organisations. </w:t>
      </w:r>
    </w:p>
    <w:p w14:paraId="482CD931" w14:textId="77777777" w:rsidR="00F53500" w:rsidRPr="00F53500" w:rsidRDefault="00F53500" w:rsidP="002C6912">
      <w:pPr>
        <w:pStyle w:val="NoSpacing"/>
      </w:pPr>
    </w:p>
    <w:sectPr w:rsidR="00F53500" w:rsidRPr="00F5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B2CD2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053C1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9259B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1F2025"/>
    <w:multiLevelType w:val="hybridMultilevel"/>
    <w:tmpl w:val="B62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7AE"/>
    <w:multiLevelType w:val="hybridMultilevel"/>
    <w:tmpl w:val="5D60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B0554"/>
    <w:multiLevelType w:val="multilevel"/>
    <w:tmpl w:val="124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67F47"/>
    <w:multiLevelType w:val="hybridMultilevel"/>
    <w:tmpl w:val="62F481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074BD"/>
    <w:multiLevelType w:val="hybridMultilevel"/>
    <w:tmpl w:val="D82A4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D921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3433937">
    <w:abstractNumId w:val="11"/>
  </w:num>
  <w:num w:numId="2" w16cid:durableId="1855534685">
    <w:abstractNumId w:val="10"/>
  </w:num>
  <w:num w:numId="3" w16cid:durableId="436948862">
    <w:abstractNumId w:val="9"/>
  </w:num>
  <w:num w:numId="4" w16cid:durableId="1601527106">
    <w:abstractNumId w:val="8"/>
  </w:num>
  <w:num w:numId="5" w16cid:durableId="1116825555">
    <w:abstractNumId w:val="7"/>
  </w:num>
  <w:num w:numId="6" w16cid:durableId="1781411736">
    <w:abstractNumId w:val="6"/>
  </w:num>
  <w:num w:numId="7" w16cid:durableId="1860193517">
    <w:abstractNumId w:val="5"/>
  </w:num>
  <w:num w:numId="8" w16cid:durableId="1060054990">
    <w:abstractNumId w:val="4"/>
  </w:num>
  <w:num w:numId="9" w16cid:durableId="1885674739">
    <w:abstractNumId w:val="3"/>
  </w:num>
  <w:num w:numId="10" w16cid:durableId="279535641">
    <w:abstractNumId w:val="2"/>
  </w:num>
  <w:num w:numId="11" w16cid:durableId="326641443">
    <w:abstractNumId w:val="13"/>
  </w:num>
  <w:num w:numId="12" w16cid:durableId="2057200140">
    <w:abstractNumId w:val="16"/>
  </w:num>
  <w:num w:numId="13" w16cid:durableId="517812933">
    <w:abstractNumId w:val="18"/>
  </w:num>
  <w:num w:numId="14" w16cid:durableId="1319848632">
    <w:abstractNumId w:val="15"/>
  </w:num>
  <w:num w:numId="15" w16cid:durableId="469716587">
    <w:abstractNumId w:val="1"/>
  </w:num>
  <w:num w:numId="16" w16cid:durableId="1180705073">
    <w:abstractNumId w:val="0"/>
  </w:num>
  <w:num w:numId="17" w16cid:durableId="2073304744">
    <w:abstractNumId w:val="12"/>
  </w:num>
  <w:num w:numId="18" w16cid:durableId="688534045">
    <w:abstractNumId w:val="14"/>
  </w:num>
  <w:num w:numId="19" w16cid:durableId="2639226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E2"/>
    <w:rsid w:val="00032D27"/>
    <w:rsid w:val="00076F75"/>
    <w:rsid w:val="00090331"/>
    <w:rsid w:val="00126116"/>
    <w:rsid w:val="001523FD"/>
    <w:rsid w:val="00174B29"/>
    <w:rsid w:val="001F3DAB"/>
    <w:rsid w:val="002C6912"/>
    <w:rsid w:val="00361E9D"/>
    <w:rsid w:val="00466354"/>
    <w:rsid w:val="00503CD5"/>
    <w:rsid w:val="0052158E"/>
    <w:rsid w:val="005527C0"/>
    <w:rsid w:val="005533FF"/>
    <w:rsid w:val="005867F0"/>
    <w:rsid w:val="00591BDE"/>
    <w:rsid w:val="00610C33"/>
    <w:rsid w:val="00640C1E"/>
    <w:rsid w:val="006424EE"/>
    <w:rsid w:val="00657A44"/>
    <w:rsid w:val="00664E01"/>
    <w:rsid w:val="007A32A7"/>
    <w:rsid w:val="007D5FE8"/>
    <w:rsid w:val="007F1850"/>
    <w:rsid w:val="00847B15"/>
    <w:rsid w:val="008A2CE2"/>
    <w:rsid w:val="008A5735"/>
    <w:rsid w:val="008C19B0"/>
    <w:rsid w:val="008C59F8"/>
    <w:rsid w:val="0097528C"/>
    <w:rsid w:val="009B782D"/>
    <w:rsid w:val="009F3688"/>
    <w:rsid w:val="009F42F2"/>
    <w:rsid w:val="00A368DE"/>
    <w:rsid w:val="00A55334"/>
    <w:rsid w:val="00A97C50"/>
    <w:rsid w:val="00B43864"/>
    <w:rsid w:val="00B96B27"/>
    <w:rsid w:val="00BD58BF"/>
    <w:rsid w:val="00CD0FC0"/>
    <w:rsid w:val="00D01306"/>
    <w:rsid w:val="00D4614B"/>
    <w:rsid w:val="00DD59E6"/>
    <w:rsid w:val="00DE7BFB"/>
    <w:rsid w:val="00DF260B"/>
    <w:rsid w:val="00E3380A"/>
    <w:rsid w:val="00EA1BDD"/>
    <w:rsid w:val="00EC0294"/>
    <w:rsid w:val="00F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9373"/>
  <w15:chartTrackingRefBased/>
  <w15:docId w15:val="{6E2E7A18-B5A8-4860-93DE-49B8544B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paragraph" w:customStyle="1" w:styleId="Default">
    <w:name w:val="Default"/>
    <w:rsid w:val="002C6912"/>
    <w:pPr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</w:rPr>
  </w:style>
  <w:style w:type="character" w:styleId="Hyperlink">
    <w:name w:val="Hyperlink"/>
    <w:uiPriority w:val="99"/>
    <w:unhideWhenUsed/>
    <w:rsid w:val="009F368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m.nhs.uk/strategy" TargetMode="External"/><Relationship Id="rId13" Type="http://schemas.openxmlformats.org/officeDocument/2006/relationships/hyperlink" Target="https://slam.nhs.uk/service-detail/service/peckham-befrienders-238/" TargetMode="External"/><Relationship Id="rId18" Type="http://schemas.openxmlformats.org/officeDocument/2006/relationships/hyperlink" Target="https://www.slamrecoverycollege.co.uk/latest-timetabl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lam.nhs.uk/anti-racism" TargetMode="External"/><Relationship Id="rId12" Type="http://schemas.openxmlformats.org/officeDocument/2006/relationships/hyperlink" Target="https://www.rootsandshoots.org.uk/blog/a-kaleidoscope-of-butterflies-sculpture-unveiling" TargetMode="External"/><Relationship Id="rId17" Type="http://schemas.openxmlformats.org/officeDocument/2006/relationships/hyperlink" Target="https://www.southlondonlistens.org/introduction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southlondonlistens.org/champions" TargetMode="External"/><Relationship Id="rId20" Type="http://schemas.openxmlformats.org/officeDocument/2006/relationships/hyperlink" Target="https://slam.nhs.uk/pcr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am.nhs.uk/pcref" TargetMode="External"/><Relationship Id="rId11" Type="http://schemas.openxmlformats.org/officeDocument/2006/relationships/hyperlink" Target="https://talkingtherapiessouthwark.nhs.uk/about-us/treatment-options/" TargetMode="External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hyperlink" Target="https://www.southlondonlistens.org/introduction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instagram.com/reel/DEXDOIjuyfO/?igsh=ZXptc3BpeDZ1aWxs" TargetMode="External"/><Relationship Id="rId19" Type="http://schemas.openxmlformats.org/officeDocument/2006/relationships/hyperlink" Target="https://slam.nhs.uk/mental-health-promo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amonline.sharepoint.com/SitePages/South-London-and-Maudsley,-South-East-London-ICB-and-Southbank-Centre-Unite-for-Health-and-Arts-Partnership.aspx?csf=1&amp;web=1&amp;share=EbmWCgN4OElCkZbqgyg_U50BWi9wkhk6T67a9bzEb5NkaA&amp;e=SX6t3r&amp;CID=8b7e1f6a-449f-46e7-a431-e72b558fba86" TargetMode="External"/><Relationship Id="rId14" Type="http://schemas.openxmlformats.org/officeDocument/2006/relationships/hyperlink" Target="https://slam.nhs.uk/msaad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0DE79E89084195005F8CE1BD9EB2" ma:contentTypeVersion="20" ma:contentTypeDescription="Create a new document." ma:contentTypeScope="" ma:versionID="80028734b64990633bb61c4a6cb78845">
  <xsd:schema xmlns:xsd="http://www.w3.org/2001/XMLSchema" xmlns:xs="http://www.w3.org/2001/XMLSchema" xmlns:p="http://schemas.microsoft.com/office/2006/metadata/properties" xmlns:ns2="6cc26f7d-087a-49b4-9718-bfb85cdd98db" xmlns:ns3="d9240c79-43c5-442b-ba71-01da65aacc8c" targetNamespace="http://schemas.microsoft.com/office/2006/metadata/properties" ma:root="true" ma:fieldsID="55d1bbcad4051403d4308e8a059eacc3" ns2:_="" ns3:_="">
    <xsd:import namespace="6cc26f7d-087a-49b4-9718-bfb85cdd98db"/>
    <xsd:import namespace="d9240c79-43c5-442b-ba71-01da65aac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bd3c6d9-dd8e-4917-88e5-2c8146e620ff}" ma:internalName="TaxCatchAll" ma:showField="CatchAllData" ma:web="6cc26f7d-087a-49b4-9718-bfb85cdd9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0c79-43c5-442b-ba71-01da65a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3a0205-6194-40e2-9b62-dd265ee46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40c79-43c5-442b-ba71-01da65aacc8c">
      <Terms xmlns="http://schemas.microsoft.com/office/infopath/2007/PartnerControls"/>
    </lcf76f155ced4ddcb4097134ff3c332f>
    <TaxCatchAll xmlns="6cc26f7d-087a-49b4-9718-bfb85cdd98db" xsi:nil="true"/>
  </documentManagement>
</p:properties>
</file>

<file path=customXml/itemProps1.xml><?xml version="1.0" encoding="utf-8"?>
<ds:datastoreItem xmlns:ds="http://schemas.openxmlformats.org/officeDocument/2006/customXml" ds:itemID="{EBF1E850-0655-4661-983F-60FB442D9411}"/>
</file>

<file path=customXml/itemProps2.xml><?xml version="1.0" encoding="utf-8"?>
<ds:datastoreItem xmlns:ds="http://schemas.openxmlformats.org/officeDocument/2006/customXml" ds:itemID="{281B5E24-7FDC-47AB-902B-FACD6E825B1C}"/>
</file>

<file path=customXml/itemProps3.xml><?xml version="1.0" encoding="utf-8"?>
<ds:datastoreItem xmlns:ds="http://schemas.openxmlformats.org/officeDocument/2006/customXml" ds:itemID="{9CB52432-6CC1-4E89-99A4-A1E80E801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7105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Glover</dc:creator>
  <cp:keywords/>
  <dc:description/>
  <cp:lastModifiedBy>Glover, Alice</cp:lastModifiedBy>
  <cp:revision>2</cp:revision>
  <dcterms:created xsi:type="dcterms:W3CDTF">2025-02-10T08:46:00Z</dcterms:created>
  <dcterms:modified xsi:type="dcterms:W3CDTF">2025-02-10T08:46:00Z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0x0101007CB20DE79E89084195005F8CE1BD9EB2</vt:lpwstr>
  </property>
</Properties>
</file>